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>, tantermi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 xml:space="preserve">datkezelő a nemzeti köznevelésről szóló 2011. évi CXC. törvény (Nkt.),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33D5CC78" w14:textId="0C896547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B267E2">
        <w:rPr>
          <w:rFonts w:ascii="Garamond" w:hAnsi="Garamond" w:cs="Times New Roman"/>
          <w:b/>
          <w:sz w:val="24"/>
        </w:rPr>
        <w:t xml:space="preserve">Az </w:t>
      </w:r>
      <w:r w:rsidR="00C15CBE" w:rsidRPr="00B267E2">
        <w:rPr>
          <w:rFonts w:ascii="Garamond" w:hAnsi="Garamond" w:cs="Times New Roman"/>
          <w:b/>
          <w:sz w:val="24"/>
        </w:rPr>
        <w:t>a</w:t>
      </w:r>
      <w:r w:rsidR="00F23DE5" w:rsidRPr="00B267E2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B267E2">
        <w:rPr>
          <w:rFonts w:ascii="Garamond" w:hAnsi="Garamond" w:cs="Times New Roman"/>
          <w:b/>
          <w:sz w:val="24"/>
        </w:rPr>
        <w:t>:</w:t>
      </w:r>
    </w:p>
    <w:p w14:paraId="0DFF1CA7" w14:textId="463EA11F" w:rsidR="00B267E2" w:rsidRPr="00B267E2" w:rsidRDefault="00B267E2" w:rsidP="004E6602">
      <w:pPr>
        <w:jc w:val="both"/>
        <w:rPr>
          <w:rFonts w:ascii="Garamond" w:hAnsi="Garamond" w:cs="Times New Roman"/>
          <w:sz w:val="24"/>
        </w:rPr>
      </w:pPr>
      <w:r w:rsidRPr="00B267E2">
        <w:rPr>
          <w:rFonts w:ascii="Garamond" w:hAnsi="Garamond" w:cs="Times New Roman"/>
          <w:sz w:val="24"/>
        </w:rPr>
        <w:t>Jedlik Ányos Gimnázium</w:t>
      </w:r>
    </w:p>
    <w:p w14:paraId="6BB808B0" w14:textId="4EABFB23" w:rsidR="00B267E2" w:rsidRDefault="00B267E2" w:rsidP="004E6602">
      <w:pPr>
        <w:jc w:val="both"/>
        <w:rPr>
          <w:rFonts w:ascii="Garamond" w:hAnsi="Garamond" w:cs="Times New Roman"/>
          <w:sz w:val="24"/>
        </w:rPr>
      </w:pPr>
      <w:r w:rsidRPr="00B267E2">
        <w:rPr>
          <w:rFonts w:ascii="Garamond" w:hAnsi="Garamond" w:cs="Times New Roman"/>
          <w:sz w:val="24"/>
        </w:rPr>
        <w:t>1214 Budapest, Tejút utca 12.</w:t>
      </w:r>
    </w:p>
    <w:p w14:paraId="36CE5C89" w14:textId="219581BF" w:rsidR="00B267E2" w:rsidRPr="00B267E2" w:rsidRDefault="00B267E2" w:rsidP="004E6602">
      <w:pPr>
        <w:jc w:val="both"/>
        <w:rPr>
          <w:rFonts w:ascii="Garamond" w:hAnsi="Garamond" w:cs="Times New Roman"/>
          <w:sz w:val="24"/>
        </w:rPr>
      </w:pPr>
      <w:hyperlink r:id="rId6" w:history="1">
        <w:r w:rsidRPr="0040234D">
          <w:rPr>
            <w:rStyle w:val="Hiperhivatkozs"/>
            <w:rFonts w:ascii="Garamond" w:hAnsi="Garamond" w:cs="Times New Roman"/>
            <w:sz w:val="24"/>
          </w:rPr>
          <w:t>www.jedlik.hu</w:t>
        </w:r>
      </w:hyperlink>
      <w:r>
        <w:rPr>
          <w:rFonts w:ascii="Garamond" w:hAnsi="Garamond" w:cs="Times New Roman"/>
          <w:sz w:val="24"/>
        </w:rPr>
        <w:t xml:space="preserve"> 1/276-1133</w:t>
      </w:r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Nkt.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19ED7819" w14:textId="77777777" w:rsidR="00B267E2" w:rsidRDefault="00B267E2">
      <w:pPr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>
        <w:rPr>
          <w:rFonts w:ascii="Garamond" w:eastAsia="Times New Roman" w:hAnsi="Garamond" w:cs="Times New Roman"/>
          <w:b/>
          <w:color w:val="FF0000"/>
          <w:sz w:val="24"/>
          <w:lang w:eastAsia="hu-HU"/>
        </w:rPr>
        <w:br w:type="page"/>
      </w:r>
    </w:p>
    <w:p w14:paraId="439E5B4D" w14:textId="7F9F3627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bookmarkStart w:id="0" w:name="_GoBack"/>
      <w:bookmarkEnd w:id="0"/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lastRenderedPageBreak/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logikailag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</w:t>
      </w:r>
      <w:proofErr w:type="gramStart"/>
      <w:r w:rsidRPr="00041454">
        <w:rPr>
          <w:rFonts w:ascii="Garamond" w:hAnsi="Garamond" w:cs="Times New Roman"/>
        </w:rPr>
        <w:t>.,</w:t>
      </w:r>
      <w:proofErr w:type="gramEnd"/>
      <w:r w:rsidRPr="00041454">
        <w:rPr>
          <w:rFonts w:ascii="Garamond" w:hAnsi="Garamond" w:cs="Times New Roman"/>
        </w:rPr>
        <w:t xml:space="preserve">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44390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267E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5CA6ABC0-3B0C-4052-B5F8-51772994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li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B67F-59EA-4B53-B6C4-E789F1A0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Bese Benő</cp:lastModifiedBy>
  <cp:revision>2</cp:revision>
  <dcterms:created xsi:type="dcterms:W3CDTF">2020-04-08T09:38:00Z</dcterms:created>
  <dcterms:modified xsi:type="dcterms:W3CDTF">2020-04-08T09:38:00Z</dcterms:modified>
</cp:coreProperties>
</file>